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Ind w:w="108" w:type="dxa"/>
        <w:tblLook w:val="04A0"/>
      </w:tblPr>
      <w:tblGrid>
        <w:gridCol w:w="611"/>
        <w:gridCol w:w="2388"/>
        <w:gridCol w:w="2121"/>
        <w:gridCol w:w="4378"/>
      </w:tblGrid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Name of the Respondent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Tax Appeal No.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Present Status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M/s.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Dudhari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Exports Pvt. Ltd.,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1024/2007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18.02.2016, Disposed off on 07.04.2016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M/s. Marvel Metal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Corpo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888/2007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01.03.2016, Disposed off on 07.04.2016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M/s.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Shekhar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Impex</w:t>
            </w:r>
            <w:proofErr w:type="spellEnd"/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1010/2007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01.03.2016, Disposed off on 07.04.2016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M/s. Metal Recycling Ind.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1016/2007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01.03.2016, Disposed off on 07.04.2016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M/s.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Ashapuri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Metals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1575/2007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01.03.2016, Disposed off on 07.04.2016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Shri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Vivek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984/2008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01.03.2016, Disposed off on 07.04.2016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Shri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Mohd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Sulaiman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Qureshi</w:t>
            </w:r>
            <w:proofErr w:type="spellEnd"/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1138/2008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01.03.2016, Disposed off on 07.04.2016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M/s.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Mitesh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Impex</w:t>
            </w:r>
            <w:proofErr w:type="spellEnd"/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1081/2007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01.03.2016, Disposed off on 11.04.2016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M/s. Nagar Steel Industries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1252/2009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01.03.2016, Disposed off on 05.05.2016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Shri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Amit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Budhdhraja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(HRMM)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724/2013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01.03.2016. However, Case was decided in favour of Party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11.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Shri Suresh Joshi (CHA)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725/2013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Withdrawn by Department on monetary limit basis on 01.03.2016. However, Case was decided in favour of Party by High Court order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12.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M/s. Indian Acrylic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St. No. 3404/2015 (Tax Appeal No. 22/2016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Appeal rejected by High Court on 11.02.2016 due to extended period of limitation</w:t>
            </w:r>
          </w:p>
        </w:tc>
      </w:tr>
      <w:tr w:rsidR="002F6F94" w:rsidRPr="00775DB4" w:rsidTr="00CC5EF8">
        <w:tc>
          <w:tcPr>
            <w:tcW w:w="584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M/s. </w:t>
            </w:r>
            <w:proofErr w:type="spellStart"/>
            <w:r w:rsidRPr="00775DB4">
              <w:rPr>
                <w:rFonts w:ascii="Book Antiqua" w:hAnsi="Book Antiqua" w:cs="Times New Roman"/>
                <w:sz w:val="24"/>
                <w:szCs w:val="24"/>
              </w:rPr>
              <w:t>Sharu</w:t>
            </w:r>
            <w:proofErr w:type="spellEnd"/>
            <w:r w:rsidRPr="00775DB4">
              <w:rPr>
                <w:rFonts w:ascii="Book Antiqua" w:hAnsi="Book Antiqua" w:cs="Times New Roman"/>
                <w:sz w:val="24"/>
                <w:szCs w:val="24"/>
              </w:rPr>
              <w:t xml:space="preserve"> Industries </w:t>
            </w:r>
          </w:p>
        </w:tc>
        <w:tc>
          <w:tcPr>
            <w:tcW w:w="2126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1072/2007</w:t>
            </w:r>
          </w:p>
        </w:tc>
        <w:tc>
          <w:tcPr>
            <w:tcW w:w="4395" w:type="dxa"/>
          </w:tcPr>
          <w:p w:rsidR="002F6F94" w:rsidRPr="00775DB4" w:rsidRDefault="002F6F94" w:rsidP="00CC5EF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75DB4">
              <w:rPr>
                <w:rFonts w:ascii="Book Antiqua" w:hAnsi="Book Antiqua" w:cs="Times New Roman"/>
                <w:sz w:val="24"/>
                <w:szCs w:val="24"/>
              </w:rPr>
              <w:t>Appeal dismissed by High Court on 26.03.2015 on monetary basis</w:t>
            </w:r>
          </w:p>
        </w:tc>
      </w:tr>
    </w:tbl>
    <w:p w:rsidR="005C494E" w:rsidRDefault="005C494E"/>
    <w:sectPr w:rsidR="005C494E" w:rsidSect="00F8333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F94"/>
    <w:rsid w:val="002F6F94"/>
    <w:rsid w:val="005C494E"/>
    <w:rsid w:val="00807877"/>
    <w:rsid w:val="00A1273D"/>
    <w:rsid w:val="00C43623"/>
    <w:rsid w:val="00F8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94"/>
    <w:rPr>
      <w:rFonts w:ascii="Calibri" w:eastAsia="Times New Roman" w:hAnsi="Calibri" w:cs="Mangal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</cp:lastModifiedBy>
  <cp:revision>2</cp:revision>
  <dcterms:created xsi:type="dcterms:W3CDTF">2016-07-22T11:28:00Z</dcterms:created>
  <dcterms:modified xsi:type="dcterms:W3CDTF">2016-07-22T11:28:00Z</dcterms:modified>
</cp:coreProperties>
</file>